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99" w:rsidRDefault="00E30D99" w:rsidP="00E30D99">
      <w:pPr>
        <w:pStyle w:val="Kop1"/>
        <w:shd w:val="clear" w:color="auto" w:fill="FFFFFF"/>
        <w:spacing w:before="180" w:beforeAutospacing="0" w:after="180" w:afterAutospacing="0"/>
        <w:textAlignment w:val="baseline"/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</w:pPr>
      <w:proofErr w:type="spellStart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>GPs</w:t>
      </w:r>
      <w:proofErr w:type="spellEnd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>to</w:t>
      </w:r>
      <w:proofErr w:type="spellEnd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>seek</w:t>
      </w:r>
      <w:proofErr w:type="spellEnd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>legal</w:t>
      </w:r>
      <w:proofErr w:type="spellEnd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>advice</w:t>
      </w:r>
      <w:proofErr w:type="spellEnd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 xml:space="preserve"> over smartphone </w:t>
      </w:r>
      <w:proofErr w:type="spellStart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>appointment</w:t>
      </w:r>
      <w:proofErr w:type="spellEnd"/>
      <w:r>
        <w:rPr>
          <w:rFonts w:ascii="inherit" w:eastAsiaTheme="minorHAnsi" w:hAnsi="inherit" w:cs="Helvetica"/>
          <w:color w:val="333333"/>
          <w:sz w:val="30"/>
          <w:szCs w:val="30"/>
          <w:bdr w:val="none" w:sz="0" w:space="0" w:color="auto" w:frame="1"/>
        </w:rPr>
        <w:t xml:space="preserve"> service</w:t>
      </w:r>
    </w:p>
    <w:p w:rsidR="00E30D99" w:rsidRDefault="00E30D99" w:rsidP="00E30D99">
      <w:pPr>
        <w:shd w:val="clear" w:color="auto" w:fill="FFFFFF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Style w:val="highwire-cite-journal"/>
          <w:rFonts w:ascii="inherit" w:hAnsi="inherit" w:cs="Helvetica"/>
          <w:i/>
          <w:iCs/>
          <w:color w:val="333333"/>
          <w:sz w:val="26"/>
          <w:szCs w:val="26"/>
          <w:bdr w:val="none" w:sz="0" w:space="0" w:color="auto" w:frame="1"/>
        </w:rPr>
        <w:t>BMJ</w:t>
      </w:r>
      <w:r>
        <w:rPr>
          <w:rStyle w:val="HTML-citaat"/>
          <w:rFonts w:ascii="inherit" w:hAnsi="inherit" w:cs="Helvetica"/>
          <w:i w:val="0"/>
          <w:iCs w:val="0"/>
          <w:color w:val="333333"/>
          <w:sz w:val="26"/>
          <w:szCs w:val="26"/>
          <w:bdr w:val="none" w:sz="0" w:space="0" w:color="auto" w:frame="1"/>
        </w:rPr>
        <w:t> </w:t>
      </w:r>
      <w:r>
        <w:rPr>
          <w:rStyle w:val="highwire-cite-published-year"/>
          <w:rFonts w:ascii="inherit" w:hAnsi="inherit" w:cs="Helvetica"/>
          <w:color w:val="555555"/>
          <w:sz w:val="26"/>
          <w:szCs w:val="26"/>
          <w:bdr w:val="none" w:sz="0" w:space="0" w:color="auto" w:frame="1"/>
        </w:rPr>
        <w:t>2017</w:t>
      </w:r>
      <w:r>
        <w:rPr>
          <w:rStyle w:val="HTML-citaat"/>
          <w:rFonts w:ascii="inherit" w:hAnsi="inherit" w:cs="Helvetica"/>
          <w:i w:val="0"/>
          <w:iCs w:val="0"/>
          <w:color w:val="333333"/>
          <w:sz w:val="26"/>
          <w:szCs w:val="26"/>
          <w:bdr w:val="none" w:sz="0" w:space="0" w:color="auto" w:frame="1"/>
        </w:rPr>
        <w:t>; </w:t>
      </w:r>
      <w:r>
        <w:rPr>
          <w:rStyle w:val="highwire-cite-volume-issue"/>
          <w:rFonts w:ascii="inherit" w:hAnsi="inherit" w:cs="Helvetica"/>
          <w:color w:val="555555"/>
          <w:sz w:val="26"/>
          <w:szCs w:val="26"/>
          <w:bdr w:val="none" w:sz="0" w:space="0" w:color="auto" w:frame="1"/>
        </w:rPr>
        <w:t>359</w:t>
      </w:r>
      <w:r>
        <w:rPr>
          <w:rStyle w:val="HTML-citaat"/>
          <w:rFonts w:ascii="inherit" w:hAnsi="inherit" w:cs="Helvetica"/>
          <w:i w:val="0"/>
          <w:iCs w:val="0"/>
          <w:color w:val="333333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highwire-cite-doi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doi</w:t>
      </w:r>
      <w:proofErr w:type="spellEnd"/>
      <w:r>
        <w:rPr>
          <w:rStyle w:val="highwire-cite-doi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: </w:t>
      </w:r>
      <w:hyperlink r:id="rId6" w:history="1">
        <w:r>
          <w:rPr>
            <w:rStyle w:val="Hyperlink"/>
            <w:rFonts w:ascii="inherit" w:hAnsi="inherit" w:cs="Helvetica"/>
            <w:color w:val="2A6EBB"/>
            <w:sz w:val="26"/>
            <w:szCs w:val="26"/>
            <w:bdr w:val="none" w:sz="0" w:space="0" w:color="auto" w:frame="1"/>
          </w:rPr>
          <w:t>https://doi.org/10.1136/bmj.j5292</w:t>
        </w:r>
      </w:hyperlink>
      <w:r>
        <w:rPr>
          <w:rStyle w:val="HTML-citaat"/>
          <w:rFonts w:ascii="inherit" w:hAnsi="inherit" w:cs="Helvetica"/>
          <w:i w:val="0"/>
          <w:iCs w:val="0"/>
          <w:color w:val="333333"/>
          <w:sz w:val="26"/>
          <w:szCs w:val="26"/>
          <w:bdr w:val="none" w:sz="0" w:space="0" w:color="auto" w:frame="1"/>
        </w:rPr>
        <w:t> </w:t>
      </w:r>
      <w:r>
        <w:rPr>
          <w:rStyle w:val="highwire-cite-date"/>
          <w:rFonts w:ascii="inherit" w:hAnsi="inherit" w:cs="Helvetica"/>
          <w:color w:val="555555"/>
          <w:sz w:val="26"/>
          <w:szCs w:val="26"/>
          <w:bdr w:val="none" w:sz="0" w:space="0" w:color="auto" w:frame="1"/>
        </w:rPr>
        <w:t>(</w:t>
      </w:r>
      <w:proofErr w:type="spellStart"/>
      <w:r>
        <w:rPr>
          <w:rStyle w:val="highwire-cite-date"/>
          <w:rFonts w:ascii="inherit" w:hAnsi="inherit" w:cs="Helvetica"/>
          <w:color w:val="555555"/>
          <w:sz w:val="26"/>
          <w:szCs w:val="26"/>
          <w:bdr w:val="none" w:sz="0" w:space="0" w:color="auto" w:frame="1"/>
        </w:rPr>
        <w:t>Published</w:t>
      </w:r>
      <w:proofErr w:type="spellEnd"/>
      <w:r>
        <w:rPr>
          <w:rStyle w:val="highwire-cite-date"/>
          <w:rFonts w:ascii="inherit" w:hAnsi="inherit" w:cs="Helvetica"/>
          <w:color w:val="555555"/>
          <w:sz w:val="26"/>
          <w:szCs w:val="26"/>
          <w:bdr w:val="none" w:sz="0" w:space="0" w:color="auto" w:frame="1"/>
        </w:rPr>
        <w:t xml:space="preserve"> 14 November 2017)</w:t>
      </w:r>
      <w:proofErr w:type="spellStart"/>
      <w:r>
        <w:rPr>
          <w:rStyle w:val="highwire-cite-article-as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Cite</w:t>
      </w:r>
      <w:proofErr w:type="spellEnd"/>
      <w:r>
        <w:rPr>
          <w:rStyle w:val="highwire-cite-article-as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highwire-cite-article-as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this</w:t>
      </w:r>
      <w:proofErr w:type="spellEnd"/>
      <w:r>
        <w:rPr>
          <w:rStyle w:val="highwire-cite-article-as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 xml:space="preserve"> as: </w:t>
      </w:r>
      <w:r>
        <w:rPr>
          <w:rStyle w:val="italic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BMJ</w:t>
      </w:r>
      <w:r>
        <w:rPr>
          <w:rStyle w:val="highwire-cite-article-as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 2017;359:j5292</w:t>
      </w:r>
    </w:p>
    <w:p w:rsidR="00E30D99" w:rsidRDefault="00E30D99" w:rsidP="00E30D9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Helvetica"/>
          <w:color w:val="333333"/>
          <w:sz w:val="26"/>
          <w:szCs w:val="26"/>
        </w:rPr>
      </w:pPr>
      <w:hyperlink r:id="rId7" w:tooltip="Article Tab - Article" w:history="1">
        <w:proofErr w:type="spellStart"/>
        <w:r>
          <w:rPr>
            <w:rStyle w:val="Hyperlink"/>
            <w:rFonts w:ascii="inherit" w:hAnsi="inherit" w:cs="Helvetica"/>
            <w:color w:val="2A6EBB"/>
            <w:sz w:val="26"/>
            <w:szCs w:val="26"/>
            <w:bdr w:val="none" w:sz="0" w:space="0" w:color="auto" w:frame="1"/>
          </w:rPr>
          <w:t>Article</w:t>
        </w:r>
        <w:proofErr w:type="spellEnd"/>
      </w:hyperlink>
    </w:p>
    <w:p w:rsidR="00E30D99" w:rsidRDefault="00E30D99" w:rsidP="00E30D9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Helvetica"/>
          <w:color w:val="333333"/>
          <w:sz w:val="26"/>
          <w:szCs w:val="26"/>
        </w:rPr>
      </w:pPr>
      <w:hyperlink r:id="rId8" w:tooltip="Article Tab - Related Articles" w:history="1">
        <w:proofErr w:type="spellStart"/>
        <w:r>
          <w:rPr>
            <w:rStyle w:val="Hyperlink"/>
            <w:rFonts w:ascii="inherit" w:hAnsi="inherit" w:cs="Helvetica"/>
            <w:color w:val="333333"/>
            <w:sz w:val="26"/>
            <w:szCs w:val="26"/>
            <w:bdr w:val="none" w:sz="0" w:space="0" w:color="auto" w:frame="1"/>
            <w:shd w:val="clear" w:color="auto" w:fill="EEEEEE"/>
          </w:rPr>
          <w:t>Related</w:t>
        </w:r>
        <w:proofErr w:type="spellEnd"/>
        <w:r>
          <w:rPr>
            <w:rStyle w:val="Hyperlink"/>
            <w:rFonts w:ascii="inherit" w:hAnsi="inherit" w:cs="Helvetica"/>
            <w:color w:val="333333"/>
            <w:sz w:val="26"/>
            <w:szCs w:val="26"/>
            <w:bdr w:val="none" w:sz="0" w:space="0" w:color="auto" w:frame="1"/>
            <w:shd w:val="clear" w:color="auto" w:fill="EEEEEE"/>
          </w:rPr>
          <w:t xml:space="preserve"> content</w:t>
        </w:r>
      </w:hyperlink>
    </w:p>
    <w:p w:rsidR="00E30D99" w:rsidRDefault="00E30D99" w:rsidP="00E30D9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Helvetica"/>
          <w:color w:val="333333"/>
          <w:sz w:val="26"/>
          <w:szCs w:val="26"/>
        </w:rPr>
      </w:pPr>
      <w:hyperlink r:id="rId9" w:tooltip="Article Tab - Info &amp; Metrics" w:history="1">
        <w:proofErr w:type="spellStart"/>
        <w:r>
          <w:rPr>
            <w:rStyle w:val="Hyperlink"/>
            <w:rFonts w:ascii="inherit" w:hAnsi="inherit" w:cs="Helvetica"/>
            <w:color w:val="333333"/>
            <w:sz w:val="26"/>
            <w:szCs w:val="26"/>
            <w:bdr w:val="none" w:sz="0" w:space="0" w:color="auto" w:frame="1"/>
            <w:shd w:val="clear" w:color="auto" w:fill="EEEEEE"/>
          </w:rPr>
          <w:t>Metrics</w:t>
        </w:r>
        <w:proofErr w:type="spellEnd"/>
      </w:hyperlink>
    </w:p>
    <w:p w:rsidR="00E30D99" w:rsidRDefault="00E30D99" w:rsidP="00E30D9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hAnsi="inherit" w:cs="Helvetica"/>
          <w:color w:val="333333"/>
          <w:sz w:val="26"/>
          <w:szCs w:val="26"/>
        </w:rPr>
      </w:pPr>
      <w:hyperlink r:id="rId10" w:tooltip="BMJ Article Related Rapid Responses" w:history="1">
        <w:r>
          <w:rPr>
            <w:rStyle w:val="Hyperlink"/>
            <w:rFonts w:ascii="inherit" w:hAnsi="inherit" w:cs="Helvetica"/>
            <w:color w:val="333333"/>
            <w:sz w:val="26"/>
            <w:szCs w:val="26"/>
            <w:bdr w:val="none" w:sz="0" w:space="0" w:color="auto" w:frame="1"/>
            <w:shd w:val="clear" w:color="auto" w:fill="EEEEEE"/>
          </w:rPr>
          <w:t>Responses</w:t>
        </w:r>
      </w:hyperlink>
    </w:p>
    <w:p w:rsidR="00E30D99" w:rsidRDefault="00E30D99" w:rsidP="00E30D99">
      <w:pPr>
        <w:numPr>
          <w:ilvl w:val="0"/>
          <w:numId w:val="2"/>
        </w:numPr>
        <w:shd w:val="clear" w:color="auto" w:fill="FFFFFF"/>
        <w:spacing w:line="264" w:lineRule="atLeast"/>
        <w:ind w:left="0"/>
        <w:textAlignment w:val="baseline"/>
        <w:rPr>
          <w:rFonts w:ascii="inherit" w:hAnsi="inherit" w:cs="Helvetica"/>
          <w:i/>
          <w:iCs/>
          <w:color w:val="333333"/>
          <w:sz w:val="21"/>
          <w:szCs w:val="21"/>
        </w:rPr>
      </w:pPr>
      <w:r>
        <w:rPr>
          <w:rStyle w:val="name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 xml:space="preserve">Gareth </w:t>
      </w:r>
      <w:proofErr w:type="spellStart"/>
      <w:r>
        <w:rPr>
          <w:rStyle w:val="name"/>
          <w:rFonts w:ascii="inherit" w:hAnsi="inherit" w:cs="Helvetica"/>
          <w:i/>
          <w:iCs/>
          <w:color w:val="333333"/>
          <w:sz w:val="21"/>
          <w:szCs w:val="21"/>
          <w:bdr w:val="none" w:sz="0" w:space="0" w:color="auto" w:frame="1"/>
        </w:rPr>
        <w:t>Iacobucci</w:t>
      </w:r>
      <w:proofErr w:type="spellEnd"/>
    </w:p>
    <w:p w:rsidR="00E30D99" w:rsidRDefault="00E30D99" w:rsidP="00E30D99">
      <w:pPr>
        <w:shd w:val="clear" w:color="auto" w:fill="FFFFFF"/>
        <w:textAlignment w:val="baseline"/>
        <w:rPr>
          <w:rFonts w:ascii="inherit" w:hAnsi="inherit" w:cs="Helvetica"/>
          <w:color w:val="333333"/>
          <w:sz w:val="26"/>
          <w:szCs w:val="26"/>
        </w:rPr>
      </w:pPr>
      <w:hyperlink r:id="rId11" w:history="1">
        <w:r>
          <w:rPr>
            <w:rStyle w:val="Hyperlink"/>
            <w:rFonts w:ascii="inherit" w:hAnsi="inherit" w:cs="Helvetica"/>
            <w:color w:val="2A6EBB"/>
            <w:sz w:val="29"/>
            <w:szCs w:val="29"/>
            <w:bdr w:val="none" w:sz="0" w:space="0" w:color="auto" w:frame="1"/>
          </w:rPr>
          <w:t xml:space="preserve">Author </w:t>
        </w:r>
        <w:proofErr w:type="spellStart"/>
        <w:r>
          <w:rPr>
            <w:rStyle w:val="Hyperlink"/>
            <w:rFonts w:ascii="inherit" w:hAnsi="inherit" w:cs="Helvetica"/>
            <w:color w:val="2A6EBB"/>
            <w:sz w:val="29"/>
            <w:szCs w:val="29"/>
            <w:bdr w:val="none" w:sz="0" w:space="0" w:color="auto" w:frame="1"/>
          </w:rPr>
          <w:t>affiliations</w:t>
        </w:r>
        <w:proofErr w:type="spellEnd"/>
      </w:hyperlink>
    </w:p>
    <w:p w:rsidR="00E30D99" w:rsidRDefault="00E30D99" w:rsidP="00E30D99">
      <w:pPr>
        <w:pStyle w:val="Normaalweb"/>
        <w:shd w:val="clear" w:color="auto" w:fill="FFFFFF"/>
        <w:spacing w:before="225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proofErr w:type="spellStart"/>
      <w:r>
        <w:rPr>
          <w:rFonts w:ascii="inherit" w:hAnsi="inherit" w:cs="Helvetica"/>
          <w:color w:val="333333"/>
          <w:sz w:val="26"/>
          <w:szCs w:val="26"/>
        </w:rPr>
        <w:t>GPs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’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representatives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are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seek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legal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advice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in a bid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challenge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rollout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a service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offering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“virtual” GP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consultations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smartphone.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An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emergency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motion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passed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England’s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local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medical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committees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has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demanded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BMA’s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General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Practitioners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Committee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seek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“urgent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legal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advice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regarding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options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available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potential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judicial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review”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challenge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introduction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GP at Hand service,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which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being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piloted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in west London.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The motion,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passed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at last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week’s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annual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conference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LMCs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which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represent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GPs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locally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said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deplores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”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use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public funds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promote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inequitable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access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NHS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branded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services.” It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also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called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GPC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seek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urgent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negotiations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health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secretary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Jeremy Hunt,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compensate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loss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income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will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incur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if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their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re-register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switch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services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such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as GP at Hand.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The GP at Hand service,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launched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group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GPs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private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healthcare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company Babylon, is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offering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NHS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in London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opportunity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receive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“virtual” GP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consultations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24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hours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day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through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video link on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their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smartphones. But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scheme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has been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accused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cherry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picking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”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healthy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younger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as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website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suggests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service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may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not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appropriate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older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people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more complex health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needs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.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The new service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makes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use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NHS’s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choice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policy,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which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permits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live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outside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area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register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it.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registering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GP at Hand have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de-register at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their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existing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which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GPs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argue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risks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destabilising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existing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leaving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them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most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vulnerable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.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Susie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Bayley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Derbyshire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LMC,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proposed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motion,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said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was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unacceptable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”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NHS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permit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rollout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a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contractually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morally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questionable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” service. “We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cannot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allow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public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monies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used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commission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service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favours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no complex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problems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only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if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have access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certain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technology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,”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said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.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This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will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lead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huge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inequity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.”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But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Mobasher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Butt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a GP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medical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director of Babylon Health,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said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vote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sent out “a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poor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message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”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. He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said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critics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had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misunderstood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service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offered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insisted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was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not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excluding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specific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groups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.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proofErr w:type="spellStart"/>
      <w:r>
        <w:rPr>
          <w:rFonts w:ascii="inherit" w:hAnsi="inherit" w:cs="Helvetica"/>
          <w:color w:val="333333"/>
          <w:sz w:val="26"/>
          <w:szCs w:val="26"/>
        </w:rPr>
        <w:lastRenderedPageBreak/>
        <w:t>Butt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told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 </w:t>
      </w:r>
      <w:r>
        <w:rPr>
          <w:rStyle w:val="Nadruk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The BMJ</w:t>
      </w:r>
      <w:r>
        <w:rPr>
          <w:rFonts w:ascii="inherit" w:hAnsi="inherit" w:cs="Helvetica"/>
          <w:color w:val="333333"/>
          <w:sz w:val="26"/>
          <w:szCs w:val="26"/>
        </w:rPr>
        <w:t>, “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This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NHS service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available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everyone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. NHS England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makes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very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clear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registering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outside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area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should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decide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if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it’s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clinically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appropriate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[NHS England]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provided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list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situations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where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might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helpful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have a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discussion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with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us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beforehand. It’s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not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 list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exclusions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suggest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this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inequitable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or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cherry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picking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completely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disingenuous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>.”</w:t>
      </w:r>
    </w:p>
    <w:p w:rsidR="00E30D99" w:rsidRDefault="00E30D99" w:rsidP="00E30D99">
      <w:pPr>
        <w:pStyle w:val="Norma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 xml:space="preserve">Jane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Barnacle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director of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and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information at NHS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England’s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London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region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said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, “GP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are right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carefully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test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innovative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new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technologies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that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can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improve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free NHS services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for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their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patients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while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also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freeing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up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staff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time.”</w:t>
      </w:r>
    </w:p>
    <w:p w:rsidR="00E30D99" w:rsidRDefault="00E30D99" w:rsidP="00E30D99">
      <w:pPr>
        <w:pStyle w:val="Kop2"/>
        <w:shd w:val="clear" w:color="auto" w:fill="FFFFFF"/>
        <w:spacing w:before="0" w:beforeAutospacing="0" w:after="0" w:afterAutospacing="0"/>
        <w:textAlignment w:val="baseline"/>
        <w:rPr>
          <w:rFonts w:ascii="inherit" w:eastAsiaTheme="minorHAnsi" w:hAnsi="inherit" w:cs="Helvetica"/>
          <w:color w:val="1C497D"/>
        </w:rPr>
      </w:pPr>
      <w:proofErr w:type="spellStart"/>
      <w:r>
        <w:rPr>
          <w:rFonts w:ascii="inherit" w:eastAsiaTheme="minorHAnsi" w:hAnsi="inherit" w:cs="Helvetica"/>
          <w:color w:val="1C497D"/>
        </w:rPr>
        <w:t>Footnotes</w:t>
      </w:r>
      <w:proofErr w:type="spellEnd"/>
    </w:p>
    <w:p w:rsidR="00E30D99" w:rsidRDefault="00E30D99" w:rsidP="00E30D9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 w:cs="Helvetica"/>
          <w:color w:val="333333"/>
          <w:sz w:val="26"/>
          <w:szCs w:val="26"/>
        </w:rPr>
      </w:pPr>
      <w:r>
        <w:rPr>
          <w:rFonts w:ascii="inherit" w:hAnsi="inherit" w:cs="Helvetica"/>
          <w:color w:val="333333"/>
          <w:sz w:val="26"/>
          <w:szCs w:val="26"/>
        </w:rPr>
        <w:t>bmj.com </w:t>
      </w:r>
      <w:r>
        <w:rPr>
          <w:rStyle w:val="Zwaar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 xml:space="preserve">Margaret </w:t>
      </w:r>
      <w:proofErr w:type="spellStart"/>
      <w:r>
        <w:rPr>
          <w:rStyle w:val="Zwaar"/>
          <w:rFonts w:ascii="inherit" w:hAnsi="inherit" w:cs="Helvetica"/>
          <w:color w:val="333333"/>
          <w:sz w:val="26"/>
          <w:szCs w:val="26"/>
          <w:bdr w:val="none" w:sz="0" w:space="0" w:color="auto" w:frame="1"/>
        </w:rPr>
        <w:t>McCartney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 General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practice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can’t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just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exclude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sick </w:t>
      </w:r>
      <w:proofErr w:type="spellStart"/>
      <w:r>
        <w:rPr>
          <w:rFonts w:ascii="inherit" w:hAnsi="inherit" w:cs="Helvetica"/>
          <w:color w:val="333333"/>
          <w:sz w:val="26"/>
          <w:szCs w:val="26"/>
        </w:rPr>
        <w:t>people</w:t>
      </w:r>
      <w:proofErr w:type="spellEnd"/>
      <w:r>
        <w:rPr>
          <w:rFonts w:ascii="inherit" w:hAnsi="inherit" w:cs="Helvetica"/>
          <w:color w:val="333333"/>
          <w:sz w:val="26"/>
          <w:szCs w:val="26"/>
        </w:rPr>
        <w:t xml:space="preserve"> doi:</w:t>
      </w:r>
      <w:hyperlink r:id="rId12" w:history="1">
        <w:r>
          <w:rPr>
            <w:rStyle w:val="Hyperlink"/>
            <w:rFonts w:ascii="inherit" w:hAnsi="inherit" w:cs="Helvetica"/>
            <w:color w:val="2A6EBB"/>
            <w:sz w:val="26"/>
            <w:szCs w:val="26"/>
            <w:bdr w:val="none" w:sz="0" w:space="0" w:color="auto" w:frame="1"/>
          </w:rPr>
          <w:t>10.1136/bmj.j5190</w:t>
        </w:r>
      </w:hyperlink>
    </w:p>
    <w:p w:rsidR="00A37416" w:rsidRDefault="00A37416"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F62"/>
    <w:multiLevelType w:val="multilevel"/>
    <w:tmpl w:val="677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2125"/>
    <w:multiLevelType w:val="multilevel"/>
    <w:tmpl w:val="8D8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444AB"/>
    <w:multiLevelType w:val="multilevel"/>
    <w:tmpl w:val="293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99"/>
    <w:rsid w:val="00312A70"/>
    <w:rsid w:val="00A37416"/>
    <w:rsid w:val="00E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D99"/>
    <w:rPr>
      <w:rFonts w:ascii="Times New Roman" w:hAnsi="Times New Roman" w:cs="Times New Roman"/>
      <w:bCs w:val="0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E30D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E30D9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0D99"/>
    <w:rPr>
      <w:rFonts w:ascii="Times New Roman" w:eastAsia="Times New Roman" w:hAnsi="Times New Roman" w:cs="Times New Roman"/>
      <w:b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0D99"/>
    <w:rPr>
      <w:rFonts w:ascii="Times New Roman" w:eastAsia="Times New Roman" w:hAnsi="Times New Roman" w:cs="Times New Roman"/>
      <w:b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30D9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30D99"/>
    <w:pPr>
      <w:spacing w:before="100" w:beforeAutospacing="1" w:after="100" w:afterAutospacing="1"/>
    </w:pPr>
  </w:style>
  <w:style w:type="character" w:customStyle="1" w:styleId="highwire-cite-journal">
    <w:name w:val="highwire-cite-journal"/>
    <w:basedOn w:val="Standaardalinea-lettertype"/>
    <w:rsid w:val="00E30D99"/>
  </w:style>
  <w:style w:type="character" w:customStyle="1" w:styleId="highwire-cite-published-year">
    <w:name w:val="highwire-cite-published-year"/>
    <w:basedOn w:val="Standaardalinea-lettertype"/>
    <w:rsid w:val="00E30D99"/>
  </w:style>
  <w:style w:type="character" w:customStyle="1" w:styleId="highwire-cite-volume-issue">
    <w:name w:val="highwire-cite-volume-issue"/>
    <w:basedOn w:val="Standaardalinea-lettertype"/>
    <w:rsid w:val="00E30D99"/>
  </w:style>
  <w:style w:type="character" w:customStyle="1" w:styleId="highwire-cite-doi">
    <w:name w:val="highwire-cite-doi"/>
    <w:basedOn w:val="Standaardalinea-lettertype"/>
    <w:rsid w:val="00E30D99"/>
  </w:style>
  <w:style w:type="character" w:customStyle="1" w:styleId="highwire-cite-date">
    <w:name w:val="highwire-cite-date"/>
    <w:basedOn w:val="Standaardalinea-lettertype"/>
    <w:rsid w:val="00E30D99"/>
  </w:style>
  <w:style w:type="character" w:customStyle="1" w:styleId="highwire-cite-article-as">
    <w:name w:val="highwire-cite-article-as"/>
    <w:basedOn w:val="Standaardalinea-lettertype"/>
    <w:rsid w:val="00E30D99"/>
  </w:style>
  <w:style w:type="character" w:customStyle="1" w:styleId="italic">
    <w:name w:val="italic"/>
    <w:basedOn w:val="Standaardalinea-lettertype"/>
    <w:rsid w:val="00E30D99"/>
  </w:style>
  <w:style w:type="character" w:customStyle="1" w:styleId="name">
    <w:name w:val="name"/>
    <w:basedOn w:val="Standaardalinea-lettertype"/>
    <w:rsid w:val="00E30D99"/>
  </w:style>
  <w:style w:type="character" w:styleId="HTML-citaat">
    <w:name w:val="HTML Cite"/>
    <w:basedOn w:val="Standaardalinea-lettertype"/>
    <w:uiPriority w:val="99"/>
    <w:semiHidden/>
    <w:unhideWhenUsed/>
    <w:rsid w:val="00E30D99"/>
    <w:rPr>
      <w:i/>
      <w:iCs/>
    </w:rPr>
  </w:style>
  <w:style w:type="character" w:styleId="Nadruk">
    <w:name w:val="Emphasis"/>
    <w:basedOn w:val="Standaardalinea-lettertype"/>
    <w:uiPriority w:val="20"/>
    <w:qFormat/>
    <w:rsid w:val="00E30D99"/>
    <w:rPr>
      <w:i/>
      <w:iCs/>
    </w:rPr>
  </w:style>
  <w:style w:type="character" w:styleId="Zwaar">
    <w:name w:val="Strong"/>
    <w:basedOn w:val="Standaardalinea-lettertype"/>
    <w:uiPriority w:val="22"/>
    <w:qFormat/>
    <w:rsid w:val="00E30D9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D99"/>
    <w:rPr>
      <w:rFonts w:ascii="Times New Roman" w:hAnsi="Times New Roman" w:cs="Times New Roman"/>
      <w:bCs w:val="0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E30D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E30D9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0D99"/>
    <w:rPr>
      <w:rFonts w:ascii="Times New Roman" w:eastAsia="Times New Roman" w:hAnsi="Times New Roman" w:cs="Times New Roman"/>
      <w:b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0D99"/>
    <w:rPr>
      <w:rFonts w:ascii="Times New Roman" w:eastAsia="Times New Roman" w:hAnsi="Times New Roman" w:cs="Times New Roman"/>
      <w:b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30D9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30D99"/>
    <w:pPr>
      <w:spacing w:before="100" w:beforeAutospacing="1" w:after="100" w:afterAutospacing="1"/>
    </w:pPr>
  </w:style>
  <w:style w:type="character" w:customStyle="1" w:styleId="highwire-cite-journal">
    <w:name w:val="highwire-cite-journal"/>
    <w:basedOn w:val="Standaardalinea-lettertype"/>
    <w:rsid w:val="00E30D99"/>
  </w:style>
  <w:style w:type="character" w:customStyle="1" w:styleId="highwire-cite-published-year">
    <w:name w:val="highwire-cite-published-year"/>
    <w:basedOn w:val="Standaardalinea-lettertype"/>
    <w:rsid w:val="00E30D99"/>
  </w:style>
  <w:style w:type="character" w:customStyle="1" w:styleId="highwire-cite-volume-issue">
    <w:name w:val="highwire-cite-volume-issue"/>
    <w:basedOn w:val="Standaardalinea-lettertype"/>
    <w:rsid w:val="00E30D99"/>
  </w:style>
  <w:style w:type="character" w:customStyle="1" w:styleId="highwire-cite-doi">
    <w:name w:val="highwire-cite-doi"/>
    <w:basedOn w:val="Standaardalinea-lettertype"/>
    <w:rsid w:val="00E30D99"/>
  </w:style>
  <w:style w:type="character" w:customStyle="1" w:styleId="highwire-cite-date">
    <w:name w:val="highwire-cite-date"/>
    <w:basedOn w:val="Standaardalinea-lettertype"/>
    <w:rsid w:val="00E30D99"/>
  </w:style>
  <w:style w:type="character" w:customStyle="1" w:styleId="highwire-cite-article-as">
    <w:name w:val="highwire-cite-article-as"/>
    <w:basedOn w:val="Standaardalinea-lettertype"/>
    <w:rsid w:val="00E30D99"/>
  </w:style>
  <w:style w:type="character" w:customStyle="1" w:styleId="italic">
    <w:name w:val="italic"/>
    <w:basedOn w:val="Standaardalinea-lettertype"/>
    <w:rsid w:val="00E30D99"/>
  </w:style>
  <w:style w:type="character" w:customStyle="1" w:styleId="name">
    <w:name w:val="name"/>
    <w:basedOn w:val="Standaardalinea-lettertype"/>
    <w:rsid w:val="00E30D99"/>
  </w:style>
  <w:style w:type="character" w:styleId="HTML-citaat">
    <w:name w:val="HTML Cite"/>
    <w:basedOn w:val="Standaardalinea-lettertype"/>
    <w:uiPriority w:val="99"/>
    <w:semiHidden/>
    <w:unhideWhenUsed/>
    <w:rsid w:val="00E30D99"/>
    <w:rPr>
      <w:i/>
      <w:iCs/>
    </w:rPr>
  </w:style>
  <w:style w:type="character" w:styleId="Nadruk">
    <w:name w:val="Emphasis"/>
    <w:basedOn w:val="Standaardalinea-lettertype"/>
    <w:uiPriority w:val="20"/>
    <w:qFormat/>
    <w:rsid w:val="00E30D99"/>
    <w:rPr>
      <w:i/>
      <w:iCs/>
    </w:rPr>
  </w:style>
  <w:style w:type="character" w:styleId="Zwaar">
    <w:name w:val="Strong"/>
    <w:basedOn w:val="Standaardalinea-lettertype"/>
    <w:uiPriority w:val="22"/>
    <w:qFormat/>
    <w:rsid w:val="00E30D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59/bmj.j5292/relat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mj.com/content/359/bmj.j5292" TargetMode="External"/><Relationship Id="rId12" Type="http://schemas.openxmlformats.org/officeDocument/2006/relationships/hyperlink" Target="http://www.bmj.com/lookup/doi/10.1136/bmj.j5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36/bmj.j5292" TargetMode="External"/><Relationship Id="rId11" Type="http://schemas.openxmlformats.org/officeDocument/2006/relationships/hyperlink" Target="http://www.bmj.com/content/359/bmj.j52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mj.com/content/359/bmj.j5292/rapid-respon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9/bmj.j5292/article-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2017-11-14T21:01:00Z</dcterms:created>
  <dcterms:modified xsi:type="dcterms:W3CDTF">2017-11-14T21:02:00Z</dcterms:modified>
</cp:coreProperties>
</file>